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2EE" w:rsidP="64F11986" w:rsidRDefault="534904E4" w14:paraId="69FEBD35" w14:textId="36725519">
      <w:pPr>
        <w:rPr>
          <w:rFonts w:ascii="Tahoma" w:hAnsi="Tahoma" w:eastAsia="Tahoma" w:cs="Tahoma"/>
          <w:color w:val="000000" w:themeColor="text1"/>
        </w:rPr>
      </w:pPr>
      <w:r w:rsidRPr="64F11986">
        <w:rPr>
          <w:rFonts w:ascii="Tahoma" w:hAnsi="Tahoma" w:eastAsia="Tahoma" w:cs="Tahoma"/>
          <w:b/>
          <w:bCs/>
          <w:color w:val="000000" w:themeColor="text1"/>
        </w:rPr>
        <w:t xml:space="preserve">Position: </w:t>
      </w:r>
      <w:r w:rsidRPr="64F11986">
        <w:rPr>
          <w:rFonts w:ascii="Tahoma" w:hAnsi="Tahoma" w:eastAsia="Tahoma" w:cs="Tahoma"/>
          <w:color w:val="000000" w:themeColor="text1"/>
        </w:rPr>
        <w:t>CAN Coordinator</w:t>
      </w:r>
    </w:p>
    <w:p w:rsidR="009112EE" w:rsidP="64F11986" w:rsidRDefault="534904E4" w14:paraId="0290442D" w14:textId="07C6B893">
      <w:pPr>
        <w:rPr>
          <w:rFonts w:ascii="Tahoma" w:hAnsi="Tahoma" w:eastAsia="Tahoma" w:cs="Tahoma"/>
          <w:color w:val="000000" w:themeColor="text1"/>
        </w:rPr>
      </w:pPr>
      <w:r w:rsidRPr="64F11986">
        <w:rPr>
          <w:rFonts w:ascii="Tahoma" w:hAnsi="Tahoma" w:eastAsia="Tahoma" w:cs="Tahoma"/>
          <w:b/>
          <w:bCs/>
          <w:color w:val="000000" w:themeColor="text1"/>
        </w:rPr>
        <w:t>Length of Term:</w:t>
      </w:r>
      <w:r w:rsidRPr="64F11986">
        <w:rPr>
          <w:rFonts w:ascii="Tahoma" w:hAnsi="Tahoma" w:eastAsia="Tahoma" w:cs="Tahoma"/>
          <w:color w:val="000000" w:themeColor="text1"/>
        </w:rPr>
        <w:t xml:space="preserve"> X years</w:t>
      </w:r>
    </w:p>
    <w:p w:rsidR="009112EE" w:rsidP="64F11986" w:rsidRDefault="534904E4" w14:paraId="0C818861" w14:textId="0B70B15D">
      <w:pPr>
        <w:rPr>
          <w:rFonts w:ascii="Tahoma" w:hAnsi="Tahoma" w:eastAsia="Tahoma" w:cs="Tahoma"/>
          <w:color w:val="000000" w:themeColor="text1"/>
        </w:rPr>
      </w:pPr>
      <w:r w:rsidRPr="64F11986">
        <w:rPr>
          <w:rFonts w:ascii="Tahoma" w:hAnsi="Tahoma" w:eastAsia="Tahoma" w:cs="Tahoma"/>
          <w:b/>
          <w:bCs/>
          <w:color w:val="000000" w:themeColor="text1"/>
        </w:rPr>
        <w:t>Estimated Time Commitment:</w:t>
      </w:r>
      <w:r w:rsidRPr="64F11986">
        <w:rPr>
          <w:rFonts w:ascii="Tahoma" w:hAnsi="Tahoma" w:eastAsia="Tahoma" w:cs="Tahoma"/>
          <w:color w:val="000000" w:themeColor="text1"/>
        </w:rPr>
        <w:t xml:space="preserve"> </w:t>
      </w:r>
      <w:r w:rsidR="00572249">
        <w:rPr>
          <w:rFonts w:ascii="Tahoma" w:hAnsi="Tahoma" w:eastAsia="Tahoma" w:cs="Tahoma"/>
          <w:color w:val="000000" w:themeColor="text1"/>
        </w:rPr>
        <w:t>1-2</w:t>
      </w:r>
      <w:r w:rsidRPr="64F11986">
        <w:rPr>
          <w:rFonts w:ascii="Tahoma" w:hAnsi="Tahoma" w:eastAsia="Tahoma" w:cs="Tahoma"/>
          <w:color w:val="000000" w:themeColor="text1"/>
        </w:rPr>
        <w:t xml:space="preserve"> hours per month</w:t>
      </w:r>
    </w:p>
    <w:p w:rsidR="009112EE" w:rsidP="534904E4" w:rsidRDefault="009112EE" w14:paraId="759BEDA3" w14:textId="1D06287B">
      <w:pPr>
        <w:rPr>
          <w:rFonts w:ascii="Tahoma" w:hAnsi="Tahoma" w:eastAsia="Tahoma" w:cs="Tahoma"/>
          <w:color w:val="000000" w:themeColor="text1"/>
        </w:rPr>
      </w:pPr>
    </w:p>
    <w:p w:rsidR="009112EE" w:rsidP="64F11986" w:rsidRDefault="534904E4" w14:paraId="00B2C7BF" w14:textId="0991722B">
      <w:pPr>
        <w:rPr>
          <w:rFonts w:ascii="Tahoma" w:hAnsi="Tahoma" w:eastAsia="Tahoma" w:cs="Tahoma"/>
        </w:rPr>
      </w:pPr>
      <w:r w:rsidRPr="64F11986">
        <w:rPr>
          <w:rFonts w:ascii="Tahoma" w:hAnsi="Tahoma" w:eastAsia="Tahoma" w:cs="Tahoma"/>
          <w:b/>
          <w:bCs/>
          <w:color w:val="000000" w:themeColor="text1"/>
        </w:rPr>
        <w:t xml:space="preserve">Summary </w:t>
      </w:r>
      <w:r w:rsidRPr="64F11986" w:rsidR="64F11986">
        <w:rPr>
          <w:rFonts w:ascii="Tahoma" w:hAnsi="Tahoma" w:eastAsia="Tahoma" w:cs="Tahoma"/>
          <w:color w:val="363636"/>
        </w:rPr>
        <w:t xml:space="preserve">Children and Youth Action Network (CAN) Coordinators are CEC members selected by their respective units </w:t>
      </w:r>
      <w:r w:rsidR="002D15AD">
        <w:rPr>
          <w:rFonts w:ascii="Tahoma" w:hAnsi="Tahoma" w:eastAsia="Tahoma" w:cs="Tahoma"/>
          <w:color w:val="363636"/>
        </w:rPr>
        <w:t>or divisions</w:t>
      </w:r>
      <w:r w:rsidRPr="64F11986" w:rsidR="64F11986">
        <w:rPr>
          <w:rFonts w:ascii="Tahoma" w:hAnsi="Tahoma" w:eastAsia="Tahoma" w:cs="Tahoma"/>
          <w:color w:val="363636"/>
        </w:rPr>
        <w:t>. CAN Coordinators must be committed to advancing CEC’s policies through effective grassroots advocacy.</w:t>
      </w:r>
    </w:p>
    <w:p w:rsidR="009112EE" w:rsidP="534904E4" w:rsidRDefault="009112EE" w14:paraId="0D48258C" w14:textId="4BD7B3DF">
      <w:pPr>
        <w:rPr>
          <w:rFonts w:ascii="Tahoma" w:hAnsi="Tahoma" w:eastAsia="Tahoma" w:cs="Tahoma"/>
          <w:color w:val="000000" w:themeColor="text1"/>
        </w:rPr>
      </w:pPr>
    </w:p>
    <w:p w:rsidR="009112EE" w:rsidP="534904E4" w:rsidRDefault="534904E4" w14:paraId="5AB636BF" w14:textId="1A8E3DDB">
      <w:pPr>
        <w:rPr>
          <w:rFonts w:ascii="Tahoma" w:hAnsi="Tahoma" w:eastAsia="Tahoma" w:cs="Tahoma"/>
          <w:color w:val="000000" w:themeColor="text1"/>
        </w:rPr>
      </w:pPr>
      <w:r w:rsidRPr="64F11986">
        <w:rPr>
          <w:rFonts w:ascii="Tahoma" w:hAnsi="Tahoma" w:eastAsia="Tahoma" w:cs="Tahoma"/>
          <w:b/>
          <w:bCs/>
          <w:color w:val="000000" w:themeColor="text1"/>
        </w:rPr>
        <w:t>Responsibilities</w:t>
      </w:r>
    </w:p>
    <w:p w:rsidR="64F11986" w:rsidP="64F11986" w:rsidRDefault="64F11986" w14:paraId="0FF3D1F2" w14:textId="5D5C1DEE">
      <w:pPr>
        <w:rPr>
          <w:rFonts w:ascii="Tahoma" w:hAnsi="Tahoma" w:eastAsia="Tahoma" w:cs="Tahoma"/>
          <w:color w:val="363636"/>
          <w:sz w:val="20"/>
          <w:szCs w:val="20"/>
        </w:rPr>
      </w:pPr>
      <w:r w:rsidRPr="64F11986">
        <w:rPr>
          <w:rFonts w:ascii="Tahoma" w:hAnsi="Tahoma" w:eastAsia="Tahoma" w:cs="Tahoma"/>
          <w:color w:val="363636"/>
          <w:sz w:val="24"/>
          <w:szCs w:val="24"/>
        </w:rPr>
        <w:t>A</w:t>
      </w:r>
      <w:r w:rsidRPr="64F11986">
        <w:rPr>
          <w:rFonts w:ascii="Tahoma" w:hAnsi="Tahoma" w:eastAsia="Tahoma" w:cs="Tahoma"/>
          <w:color w:val="363636"/>
        </w:rPr>
        <w:t xml:space="preserve">s a leading advocate for </w:t>
      </w:r>
      <w:r w:rsidR="002D15AD">
        <w:rPr>
          <w:rFonts w:ascii="Tahoma" w:hAnsi="Tahoma" w:eastAsia="Tahoma" w:cs="Tahoma"/>
          <w:color w:val="363636"/>
        </w:rPr>
        <w:t>infants, toddlers, children, and youth</w:t>
      </w:r>
      <w:r w:rsidRPr="64F11986">
        <w:rPr>
          <w:rFonts w:ascii="Tahoma" w:hAnsi="Tahoma" w:eastAsia="Tahoma" w:cs="Tahoma"/>
          <w:color w:val="363636"/>
        </w:rPr>
        <w:t xml:space="preserve"> with disabilities and</w:t>
      </w:r>
      <w:r w:rsidR="00EB6C74">
        <w:rPr>
          <w:rFonts w:ascii="Tahoma" w:hAnsi="Tahoma" w:eastAsia="Tahoma" w:cs="Tahoma"/>
          <w:color w:val="363636"/>
        </w:rPr>
        <w:t>/or</w:t>
      </w:r>
      <w:r w:rsidRPr="64F11986">
        <w:rPr>
          <w:rFonts w:ascii="Tahoma" w:hAnsi="Tahoma" w:eastAsia="Tahoma" w:cs="Tahoma"/>
          <w:color w:val="363636"/>
        </w:rPr>
        <w:t xml:space="preserve"> gifts and talents, CAN Coordinator</w:t>
      </w:r>
      <w:r w:rsidR="002D15AD">
        <w:rPr>
          <w:rFonts w:ascii="Tahoma" w:hAnsi="Tahoma" w:eastAsia="Tahoma" w:cs="Tahoma"/>
          <w:color w:val="363636"/>
        </w:rPr>
        <w:t>s</w:t>
      </w:r>
      <w:r w:rsidRPr="64F11986">
        <w:rPr>
          <w:rFonts w:ascii="Tahoma" w:hAnsi="Tahoma" w:eastAsia="Tahoma" w:cs="Tahoma"/>
          <w:color w:val="363636"/>
        </w:rPr>
        <w:t xml:space="preserve"> play an integral role in advancing </w:t>
      </w:r>
      <w:r w:rsidR="00EB6C74">
        <w:rPr>
          <w:rFonts w:ascii="Tahoma" w:hAnsi="Tahoma" w:eastAsia="Tahoma" w:cs="Tahoma"/>
          <w:color w:val="363636"/>
        </w:rPr>
        <w:t>federal policy</w:t>
      </w:r>
      <w:r w:rsidR="002D15AD">
        <w:rPr>
          <w:rFonts w:ascii="Tahoma" w:hAnsi="Tahoma" w:eastAsia="Tahoma" w:cs="Tahoma"/>
          <w:color w:val="363636"/>
        </w:rPr>
        <w:t xml:space="preserve">. </w:t>
      </w:r>
      <w:r w:rsidRPr="64F11986" w:rsidR="00252AB7">
        <w:rPr>
          <w:rFonts w:ascii="Tahoma" w:hAnsi="Tahoma" w:eastAsia="Tahoma" w:cs="Tahoma"/>
          <w:color w:val="363636"/>
        </w:rPr>
        <w:t>CAN Coordinators</w:t>
      </w:r>
      <w:r w:rsidR="00252AB7">
        <w:rPr>
          <w:rFonts w:ascii="Tahoma" w:hAnsi="Tahoma" w:eastAsia="Tahoma" w:cs="Tahoma"/>
          <w:color w:val="363636"/>
        </w:rPr>
        <w:t xml:space="preserve"> support CEC policy initiatives by building a strong grassroots network capable of effectively communicating policy priorities. </w:t>
      </w:r>
    </w:p>
    <w:p w:rsidR="64F11986" w:rsidP="64F11986" w:rsidRDefault="64F11986" w14:paraId="5607B981" w14:textId="7B3B833B">
      <w:pPr>
        <w:rPr>
          <w:rFonts w:ascii="Tahoma" w:hAnsi="Tahoma" w:eastAsia="Tahoma" w:cs="Tahoma"/>
          <w:color w:val="363636"/>
          <w:sz w:val="20"/>
          <w:szCs w:val="20"/>
        </w:rPr>
      </w:pPr>
      <w:r w:rsidRPr="64F11986">
        <w:rPr>
          <w:rFonts w:ascii="Tahoma" w:hAnsi="Tahoma" w:eastAsia="Tahoma" w:cs="Tahoma"/>
          <w:color w:val="363636"/>
        </w:rPr>
        <w:t>CAN Coordinator responsibilities include:</w:t>
      </w:r>
    </w:p>
    <w:p w:rsidR="00252AB7" w:rsidP="64F11986" w:rsidRDefault="00252AB7" w14:paraId="210934C7" w14:textId="494AE58A">
      <w:pPr>
        <w:pStyle w:val="ListParagraph"/>
        <w:numPr>
          <w:ilvl w:val="0"/>
          <w:numId w:val="1"/>
        </w:numPr>
        <w:rPr>
          <w:rFonts w:ascii="Tahoma" w:hAnsi="Tahoma" w:eastAsia="Tahoma" w:cs="Tahoma"/>
          <w:color w:val="363636"/>
        </w:rPr>
      </w:pPr>
      <w:r>
        <w:rPr>
          <w:rFonts w:ascii="Tahoma" w:hAnsi="Tahoma" w:eastAsia="Tahoma" w:cs="Tahoma"/>
          <w:color w:val="363636"/>
        </w:rPr>
        <w:t>Development of an effective network</w:t>
      </w:r>
      <w:r w:rsidR="00FD1EF1">
        <w:rPr>
          <w:rFonts w:ascii="Tahoma" w:hAnsi="Tahoma" w:eastAsia="Tahoma" w:cs="Tahoma"/>
          <w:color w:val="363636"/>
        </w:rPr>
        <w:t xml:space="preserve"> of advocates at the state and local level </w:t>
      </w:r>
      <w:r>
        <w:rPr>
          <w:rFonts w:ascii="Tahoma" w:hAnsi="Tahoma" w:eastAsia="Tahoma" w:cs="Tahoma"/>
          <w:color w:val="363636"/>
        </w:rPr>
        <w:t xml:space="preserve"> </w:t>
      </w:r>
    </w:p>
    <w:p w:rsidRPr="00741691" w:rsidR="00252AB7" w:rsidP="64F11986" w:rsidRDefault="64F11986" w14:paraId="0F335E09" w14:textId="7DBB4D1F">
      <w:pPr>
        <w:pStyle w:val="ListParagraph"/>
        <w:numPr>
          <w:ilvl w:val="0"/>
          <w:numId w:val="1"/>
        </w:numPr>
        <w:rPr>
          <w:rFonts w:ascii="Tahoma" w:hAnsi="Tahoma" w:eastAsia="Tahoma" w:cs="Tahoma"/>
          <w:color w:val="363636"/>
        </w:rPr>
      </w:pPr>
      <w:r w:rsidRPr="00741691">
        <w:rPr>
          <w:rFonts w:ascii="Tahoma" w:hAnsi="Tahoma" w:eastAsia="Tahoma" w:cs="Tahoma"/>
          <w:color w:val="363636"/>
        </w:rPr>
        <w:t xml:space="preserve">Regular communication with </w:t>
      </w:r>
      <w:r w:rsidRPr="00741691" w:rsidR="00252AB7">
        <w:rPr>
          <w:rFonts w:ascii="Tahoma" w:hAnsi="Tahoma" w:eastAsia="Tahoma" w:cs="Tahoma"/>
          <w:color w:val="363636"/>
        </w:rPr>
        <w:t>the network to keep members informed about policy and advocacy</w:t>
      </w:r>
      <w:r w:rsidRPr="00741691" w:rsidR="00741691">
        <w:rPr>
          <w:rFonts w:ascii="Tahoma" w:hAnsi="Tahoma" w:eastAsia="Tahoma" w:cs="Tahoma"/>
          <w:color w:val="363636"/>
        </w:rPr>
        <w:t xml:space="preserve">, including </w:t>
      </w:r>
      <w:r w:rsidR="00741691">
        <w:rPr>
          <w:rFonts w:ascii="Tahoma" w:hAnsi="Tahoma" w:eastAsia="Tahoma" w:cs="Tahoma"/>
          <w:color w:val="363636"/>
        </w:rPr>
        <w:t>c</w:t>
      </w:r>
      <w:r w:rsidRPr="00741691" w:rsidR="00252AB7">
        <w:rPr>
          <w:rFonts w:ascii="Tahoma" w:hAnsi="Tahoma" w:eastAsia="Tahoma" w:cs="Tahoma"/>
          <w:color w:val="363636"/>
        </w:rPr>
        <w:t xml:space="preserve">irculation of </w:t>
      </w:r>
      <w:r w:rsidR="00FD1EF1">
        <w:rPr>
          <w:rFonts w:ascii="Tahoma" w:hAnsi="Tahoma" w:eastAsia="Tahoma" w:cs="Tahoma"/>
          <w:color w:val="363636"/>
        </w:rPr>
        <w:t>CEC’s weekly policy newsletter</w:t>
      </w:r>
      <w:r w:rsidRPr="00741691" w:rsidR="00252AB7">
        <w:rPr>
          <w:rFonts w:ascii="Tahoma" w:hAnsi="Tahoma" w:eastAsia="Tahoma" w:cs="Tahoma"/>
          <w:color w:val="363636"/>
        </w:rPr>
        <w:t xml:space="preserve"> Policy Insider </w:t>
      </w:r>
    </w:p>
    <w:p w:rsidR="00CB0738" w:rsidP="64F11986" w:rsidRDefault="00CB0738" w14:paraId="45108D8F" w14:textId="7896637B">
      <w:pPr>
        <w:pStyle w:val="ListParagraph"/>
        <w:numPr>
          <w:ilvl w:val="0"/>
          <w:numId w:val="1"/>
        </w:numPr>
        <w:rPr>
          <w:rFonts w:ascii="Tahoma" w:hAnsi="Tahoma" w:eastAsia="Tahoma" w:cs="Tahoma"/>
          <w:color w:val="363636"/>
        </w:rPr>
      </w:pPr>
      <w:r>
        <w:rPr>
          <w:rFonts w:ascii="Tahoma" w:hAnsi="Tahoma" w:eastAsia="Tahoma" w:cs="Tahoma"/>
          <w:color w:val="363636"/>
        </w:rPr>
        <w:t>Activation of</w:t>
      </w:r>
      <w:r w:rsidR="00F86EDD">
        <w:rPr>
          <w:rFonts w:ascii="Tahoma" w:hAnsi="Tahoma" w:eastAsia="Tahoma" w:cs="Tahoma"/>
          <w:color w:val="363636"/>
        </w:rPr>
        <w:t xml:space="preserve"> the</w:t>
      </w:r>
      <w:r>
        <w:rPr>
          <w:rFonts w:ascii="Tahoma" w:hAnsi="Tahoma" w:eastAsia="Tahoma" w:cs="Tahoma"/>
          <w:color w:val="363636"/>
        </w:rPr>
        <w:t xml:space="preserve"> network for CEC calls to action via </w:t>
      </w:r>
      <w:r w:rsidR="00F86EDD">
        <w:rPr>
          <w:rFonts w:ascii="Tahoma" w:hAnsi="Tahoma" w:eastAsia="Tahoma" w:cs="Tahoma"/>
          <w:color w:val="363636"/>
        </w:rPr>
        <w:t>our</w:t>
      </w:r>
      <w:r w:rsidR="00FD1EF1">
        <w:rPr>
          <w:rFonts w:ascii="Tahoma" w:hAnsi="Tahoma" w:eastAsia="Tahoma" w:cs="Tahoma"/>
          <w:color w:val="363636"/>
        </w:rPr>
        <w:t xml:space="preserve"> online letter-writing campaign tool</w:t>
      </w:r>
      <w:r w:rsidR="00F86EDD">
        <w:rPr>
          <w:rFonts w:ascii="Tahoma" w:hAnsi="Tahoma" w:eastAsia="Tahoma" w:cs="Tahoma"/>
          <w:color w:val="363636"/>
        </w:rPr>
        <w:t>, the</w:t>
      </w:r>
      <w:r>
        <w:rPr>
          <w:rFonts w:ascii="Tahoma" w:hAnsi="Tahoma" w:eastAsia="Tahoma" w:cs="Tahoma"/>
          <w:color w:val="363636"/>
        </w:rPr>
        <w:t xml:space="preserve"> </w:t>
      </w:r>
      <w:hyperlink w:history="1" r:id="rId10">
        <w:r w:rsidRPr="00F86EDD">
          <w:rPr>
            <w:rStyle w:val="Hyperlink"/>
            <w:rFonts w:ascii="Tahoma" w:hAnsi="Tahoma" w:eastAsia="Tahoma" w:cs="Tahoma"/>
          </w:rPr>
          <w:t>Legislative Action Center</w:t>
        </w:r>
      </w:hyperlink>
    </w:p>
    <w:p w:rsidR="002F2E51" w:rsidP="64F11986" w:rsidRDefault="002F2E51" w14:paraId="3489FDC8" w14:textId="319AB17F">
      <w:pPr>
        <w:pStyle w:val="ListParagraph"/>
        <w:numPr>
          <w:ilvl w:val="0"/>
          <w:numId w:val="1"/>
        </w:numPr>
        <w:rPr>
          <w:rFonts w:ascii="Tahoma" w:hAnsi="Tahoma" w:eastAsia="Tahoma" w:cs="Tahoma"/>
          <w:color w:val="363636"/>
        </w:rPr>
      </w:pPr>
      <w:r>
        <w:rPr>
          <w:rFonts w:ascii="Tahoma" w:hAnsi="Tahoma" w:eastAsia="Tahoma" w:cs="Tahoma"/>
          <w:color w:val="363636"/>
        </w:rPr>
        <w:t>Attendance and participation in CEC policy and advocacy webinars and events</w:t>
      </w:r>
    </w:p>
    <w:p w:rsidR="00741691" w:rsidP="64F11986" w:rsidRDefault="00741691" w14:paraId="169811D5" w14:textId="3EE41AA1">
      <w:pPr>
        <w:pStyle w:val="ListParagraph"/>
        <w:numPr>
          <w:ilvl w:val="0"/>
          <w:numId w:val="1"/>
        </w:numPr>
        <w:rPr>
          <w:rFonts w:ascii="Tahoma" w:hAnsi="Tahoma" w:eastAsia="Tahoma" w:cs="Tahoma"/>
          <w:color w:val="363636"/>
        </w:rPr>
      </w:pPr>
      <w:r>
        <w:rPr>
          <w:rFonts w:ascii="Tahoma" w:hAnsi="Tahoma" w:eastAsia="Tahoma" w:cs="Tahoma"/>
          <w:color w:val="363636"/>
        </w:rPr>
        <w:t xml:space="preserve">Attendance </w:t>
      </w:r>
      <w:r w:rsidR="00F31302">
        <w:rPr>
          <w:rFonts w:ascii="Tahoma" w:hAnsi="Tahoma" w:eastAsia="Tahoma" w:cs="Tahoma"/>
          <w:color w:val="363636"/>
        </w:rPr>
        <w:t>at</w:t>
      </w:r>
      <w:r>
        <w:rPr>
          <w:rFonts w:ascii="Tahoma" w:hAnsi="Tahoma" w:eastAsia="Tahoma" w:cs="Tahoma"/>
          <w:color w:val="363636"/>
        </w:rPr>
        <w:t xml:space="preserve"> CAN trainings offered virtually and at the annual convention</w:t>
      </w:r>
      <w:r w:rsidR="00D01A7D">
        <w:rPr>
          <w:rFonts w:ascii="Tahoma" w:hAnsi="Tahoma" w:eastAsia="Tahoma" w:cs="Tahoma"/>
          <w:color w:val="363636"/>
        </w:rPr>
        <w:t>, if in attendance</w:t>
      </w:r>
    </w:p>
    <w:p w:rsidRPr="00741691" w:rsidR="00741691" w:rsidP="00741691" w:rsidRDefault="002F2E51" w14:paraId="007365AD" w14:textId="13BFB133">
      <w:pPr>
        <w:pStyle w:val="ListParagraph"/>
        <w:numPr>
          <w:ilvl w:val="0"/>
          <w:numId w:val="1"/>
        </w:numPr>
        <w:rPr>
          <w:rFonts w:ascii="Tahoma" w:hAnsi="Tahoma" w:eastAsia="Tahoma" w:cs="Tahoma"/>
          <w:color w:val="363636"/>
        </w:rPr>
      </w:pPr>
      <w:r>
        <w:rPr>
          <w:rFonts w:ascii="Tahoma" w:hAnsi="Tahoma" w:eastAsia="Tahoma" w:cs="Tahoma"/>
          <w:color w:val="363636"/>
        </w:rPr>
        <w:t>Active participation in the CEC CAN Community</w:t>
      </w:r>
    </w:p>
    <w:p w:rsidRPr="00CB0738" w:rsidR="009112EE" w:rsidP="534904E4" w:rsidRDefault="64F11986" w14:paraId="7EA17DF7" w14:textId="27136E95">
      <w:pPr>
        <w:rPr>
          <w:rFonts w:ascii="Tahoma" w:hAnsi="Tahoma" w:eastAsia="Tahoma" w:cs="Tahoma"/>
          <w:color w:val="363636"/>
          <w:sz w:val="20"/>
          <w:szCs w:val="20"/>
        </w:rPr>
      </w:pPr>
      <w:r w:rsidRPr="64F11986">
        <w:rPr>
          <w:rFonts w:ascii="Tahoma" w:hAnsi="Tahoma" w:eastAsia="Tahoma" w:cs="Tahoma"/>
          <w:color w:val="363636"/>
        </w:rPr>
        <w:t>An effective CAN network is pivotal to making progress on Capitol Hill, in federal agencies, and in state government</w:t>
      </w:r>
      <w:r w:rsidR="00CB0738">
        <w:rPr>
          <w:rFonts w:ascii="Tahoma" w:hAnsi="Tahoma" w:eastAsia="Tahoma" w:cs="Tahoma"/>
          <w:color w:val="363636"/>
        </w:rPr>
        <w:t xml:space="preserve"> by elevating the voices of the special education profession to connect lawmakers with local experts.</w:t>
      </w:r>
    </w:p>
    <w:p w:rsidR="009112EE" w:rsidP="534904E4" w:rsidRDefault="534904E4" w14:paraId="678EA1A5" w14:textId="5807003B">
      <w:pPr>
        <w:rPr>
          <w:rFonts w:ascii="Tahoma" w:hAnsi="Tahoma" w:eastAsia="Tahoma" w:cs="Tahoma"/>
          <w:color w:val="000000" w:themeColor="text1"/>
        </w:rPr>
      </w:pPr>
      <w:r w:rsidRPr="13408B18" w:rsidR="534904E4">
        <w:rPr>
          <w:rFonts w:ascii="Tahoma" w:hAnsi="Tahoma" w:eastAsia="Tahoma" w:cs="Tahoma"/>
          <w:b w:val="1"/>
          <w:bCs w:val="1"/>
          <w:color w:val="000000" w:themeColor="text1" w:themeTint="FF" w:themeShade="FF"/>
        </w:rPr>
        <w:t>Qualifications</w:t>
      </w:r>
    </w:p>
    <w:p w:rsidR="13408B18" w:rsidP="13408B18" w:rsidRDefault="13408B18" w14:paraId="35A59360" w14:textId="6168C513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13408B18" w:rsidR="13408B1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 a current member of the Council for Exceptional Children</w:t>
      </w:r>
    </w:p>
    <w:p w:rsidR="00CB0738" w:rsidP="64F11986" w:rsidRDefault="00CB0738" w14:paraId="69BC831C" w14:textId="1C8B0613">
      <w:pPr>
        <w:pStyle w:val="ListParagraph"/>
        <w:numPr>
          <w:ilvl w:val="0"/>
          <w:numId w:val="2"/>
        </w:numPr>
        <w:rPr>
          <w:rFonts w:ascii="Tahoma" w:hAnsi="Tahoma" w:eastAsia="Tahoma" w:cs="Tahoma"/>
          <w:color w:val="363636"/>
        </w:rPr>
      </w:pPr>
      <w:r>
        <w:rPr>
          <w:rFonts w:ascii="Tahoma" w:hAnsi="Tahoma" w:eastAsia="Tahoma" w:cs="Tahoma"/>
          <w:color w:val="363636"/>
        </w:rPr>
        <w:t>Knowledge of or the strong desire to learn about policy and advocacy</w:t>
      </w:r>
    </w:p>
    <w:p w:rsidR="009112EE" w:rsidP="64F11986" w:rsidRDefault="64F11986" w14:paraId="25C91370" w14:textId="6EC07E5C">
      <w:pPr>
        <w:pStyle w:val="ListParagraph"/>
        <w:numPr>
          <w:ilvl w:val="0"/>
          <w:numId w:val="2"/>
        </w:numPr>
        <w:rPr>
          <w:rFonts w:ascii="Tahoma" w:hAnsi="Tahoma" w:eastAsia="Tahoma" w:cs="Tahoma"/>
          <w:color w:val="363636"/>
        </w:rPr>
      </w:pPr>
      <w:r w:rsidRPr="64F11986">
        <w:rPr>
          <w:rFonts w:ascii="Tahoma" w:hAnsi="Tahoma" w:eastAsia="Tahoma" w:cs="Tahoma"/>
          <w:color w:val="363636"/>
        </w:rPr>
        <w:t xml:space="preserve">A commitment to the </w:t>
      </w:r>
      <w:r w:rsidR="00CB0738">
        <w:rPr>
          <w:rFonts w:ascii="Tahoma" w:hAnsi="Tahoma" w:eastAsia="Tahoma" w:cs="Tahoma"/>
          <w:color w:val="363636"/>
        </w:rPr>
        <w:t>policy priorities</w:t>
      </w:r>
      <w:r w:rsidRPr="64F11986">
        <w:rPr>
          <w:rFonts w:ascii="Tahoma" w:hAnsi="Tahoma" w:eastAsia="Tahoma" w:cs="Tahoma"/>
          <w:color w:val="363636"/>
        </w:rPr>
        <w:t xml:space="preserve"> of CEC</w:t>
      </w:r>
      <w:r w:rsidR="00CB0738">
        <w:rPr>
          <w:rFonts w:ascii="Tahoma" w:hAnsi="Tahoma" w:eastAsia="Tahoma" w:cs="Tahoma"/>
          <w:color w:val="363636"/>
        </w:rPr>
        <w:t xml:space="preserve">, as articulated through CEC’s </w:t>
      </w:r>
      <w:hyperlink w:history="1" r:id="rId11">
        <w:r w:rsidRPr="00CB0738" w:rsidR="00CB0738">
          <w:rPr>
            <w:rStyle w:val="Hyperlink"/>
            <w:rFonts w:ascii="Tahoma" w:hAnsi="Tahoma" w:eastAsia="Tahoma" w:cs="Tahoma"/>
          </w:rPr>
          <w:t>position statements</w:t>
        </w:r>
      </w:hyperlink>
    </w:p>
    <w:p w:rsidRPr="00CB0738" w:rsidR="009112EE" w:rsidP="00CB0738" w:rsidRDefault="64F11986" w14:paraId="54B03D9C" w14:textId="44398C19">
      <w:pPr>
        <w:pStyle w:val="ListParagraph"/>
        <w:numPr>
          <w:ilvl w:val="0"/>
          <w:numId w:val="2"/>
        </w:numPr>
        <w:rPr>
          <w:rFonts w:ascii="Tahoma" w:hAnsi="Tahoma" w:eastAsia="Tahoma" w:cs="Tahoma"/>
          <w:color w:val="363636"/>
        </w:rPr>
      </w:pPr>
      <w:r w:rsidRPr="64F11986">
        <w:rPr>
          <w:rFonts w:ascii="Tahoma" w:hAnsi="Tahoma" w:eastAsia="Tahoma" w:cs="Tahoma"/>
          <w:color w:val="363636"/>
        </w:rPr>
        <w:t>A willingness to devote the necessary time to carry out all responsibilities related to this position</w:t>
      </w:r>
    </w:p>
    <w:p w:rsidR="009112EE" w:rsidP="534904E4" w:rsidRDefault="00F86EDD" w14:paraId="1452E34F" w14:textId="3CCC1C33">
      <w:pPr>
        <w:rPr>
          <w:rFonts w:ascii="Tahoma" w:hAnsi="Tahoma" w:eastAsia="Tahoma" w:cs="Tahoma"/>
          <w:b/>
          <w:bCs/>
          <w:color w:val="000000" w:themeColor="text1"/>
        </w:rPr>
      </w:pPr>
      <w:r>
        <w:rPr>
          <w:rFonts w:ascii="Tahoma" w:hAnsi="Tahoma" w:eastAsia="Tahoma" w:cs="Tahoma"/>
          <w:b/>
          <w:bCs/>
          <w:color w:val="000000" w:themeColor="text1"/>
        </w:rPr>
        <w:t>Advocacy in Washington, DC</w:t>
      </w:r>
    </w:p>
    <w:p w:rsidRPr="00D01A7D" w:rsidR="009112EE" w:rsidP="00D01A7D" w:rsidRDefault="00F86EDD" w14:paraId="2C078E63" w14:textId="403C71DF">
      <w:pPr>
        <w:pStyle w:val="ListParagraph"/>
        <w:numPr>
          <w:ilvl w:val="0"/>
          <w:numId w:val="1"/>
        </w:numPr>
        <w:ind w:left="360"/>
        <w:rPr>
          <w:rFonts w:ascii="Tahoma" w:hAnsi="Tahoma" w:eastAsia="Tahoma" w:cs="Tahoma"/>
          <w:color w:val="363636"/>
        </w:rPr>
      </w:pPr>
      <w:r w:rsidRPr="00F31302">
        <w:rPr>
          <w:rFonts w:ascii="Tahoma" w:hAnsi="Tahoma" w:eastAsia="Tahoma" w:cs="Tahoma"/>
          <w:color w:val="363636"/>
        </w:rPr>
        <w:t>CEC encourages CAN Coordinators to attend</w:t>
      </w:r>
      <w:r w:rsidR="00D01A7D">
        <w:rPr>
          <w:rFonts w:ascii="Tahoma" w:hAnsi="Tahoma" w:eastAsia="Tahoma" w:cs="Tahoma"/>
          <w:color w:val="363636"/>
        </w:rPr>
        <w:t>/lead state teams at</w:t>
      </w:r>
      <w:r w:rsidRPr="00F31302">
        <w:rPr>
          <w:rFonts w:ascii="Tahoma" w:hAnsi="Tahoma" w:eastAsia="Tahoma" w:cs="Tahoma"/>
          <w:color w:val="363636"/>
        </w:rPr>
        <w:t xml:space="preserve"> the Special Education Legislative Summit, an annual</w:t>
      </w:r>
      <w:r w:rsidR="00D01A7D">
        <w:rPr>
          <w:rFonts w:ascii="Tahoma" w:hAnsi="Tahoma" w:eastAsia="Tahoma" w:cs="Tahoma"/>
          <w:color w:val="363636"/>
        </w:rPr>
        <w:t xml:space="preserve"> advocacy</w:t>
      </w:r>
      <w:r w:rsidRPr="00F31302">
        <w:rPr>
          <w:rFonts w:ascii="Tahoma" w:hAnsi="Tahoma" w:eastAsia="Tahoma" w:cs="Tahoma"/>
          <w:color w:val="363636"/>
        </w:rPr>
        <w:t xml:space="preserve"> event </w:t>
      </w:r>
      <w:r w:rsidR="00D01A7D">
        <w:rPr>
          <w:rFonts w:ascii="Tahoma" w:hAnsi="Tahoma" w:eastAsia="Tahoma" w:cs="Tahoma"/>
          <w:color w:val="363636"/>
        </w:rPr>
        <w:t>for special educators which includes</w:t>
      </w:r>
      <w:r w:rsidRPr="00F31302" w:rsidR="00F31302">
        <w:rPr>
          <w:rFonts w:ascii="Tahoma" w:hAnsi="Tahoma" w:eastAsia="Tahoma" w:cs="Tahoma"/>
          <w:color w:val="363636"/>
        </w:rPr>
        <w:t xml:space="preserve"> a two-day training, culminating with meetings with lawmakers on Capitol Hill. </w:t>
      </w:r>
    </w:p>
    <w:sectPr w:rsidRPr="00D01A7D" w:rsidR="009112EE"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4021" w:rsidP="00D01A7D" w:rsidRDefault="00E04021" w14:paraId="3A407EFE" w14:textId="77777777">
      <w:pPr>
        <w:spacing w:after="0" w:line="240" w:lineRule="auto"/>
      </w:pPr>
      <w:r>
        <w:separator/>
      </w:r>
    </w:p>
  </w:endnote>
  <w:endnote w:type="continuationSeparator" w:id="0">
    <w:p w:rsidR="00E04021" w:rsidP="00D01A7D" w:rsidRDefault="00E04021" w14:paraId="6770B4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1A7D" w:rsidRDefault="00D01A7D" w14:paraId="6530BACB" w14:textId="197AEEF7">
    <w:pPr>
      <w:pStyle w:val="Footer"/>
    </w:pPr>
    <w:r>
      <w:t xml:space="preserve">Last Update: </w:t>
    </w:r>
    <w:proofErr w:type="gramStart"/>
    <w:r>
      <w:t>June,</w:t>
    </w:r>
    <w:proofErr w:type="gramEnd"/>
    <w: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4021" w:rsidP="00D01A7D" w:rsidRDefault="00E04021" w14:paraId="6DA14FDF" w14:textId="77777777">
      <w:pPr>
        <w:spacing w:after="0" w:line="240" w:lineRule="auto"/>
      </w:pPr>
      <w:r>
        <w:separator/>
      </w:r>
    </w:p>
  </w:footnote>
  <w:footnote w:type="continuationSeparator" w:id="0">
    <w:p w:rsidR="00E04021" w:rsidP="00D01A7D" w:rsidRDefault="00E04021" w14:paraId="79F09FC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19E9"/>
    <w:multiLevelType w:val="hybridMultilevel"/>
    <w:tmpl w:val="7F5A2CB4"/>
    <w:lvl w:ilvl="0" w:tplc="67BAA9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246A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BA3B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BC9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66FE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60C8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B65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4078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58E1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B7727C"/>
    <w:multiLevelType w:val="hybridMultilevel"/>
    <w:tmpl w:val="822AF4E4"/>
    <w:lvl w:ilvl="0" w:tplc="527CC6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C227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8C31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0A3A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743C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DEE5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0C3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C6BF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D21E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720402">
    <w:abstractNumId w:val="0"/>
  </w:num>
  <w:num w:numId="2" w16cid:durableId="34389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654C96"/>
    <w:rsid w:val="001C6308"/>
    <w:rsid w:val="00252AB7"/>
    <w:rsid w:val="002D15AD"/>
    <w:rsid w:val="002F2E51"/>
    <w:rsid w:val="003114DD"/>
    <w:rsid w:val="004A14C2"/>
    <w:rsid w:val="004E25A3"/>
    <w:rsid w:val="00572249"/>
    <w:rsid w:val="00741691"/>
    <w:rsid w:val="009112EE"/>
    <w:rsid w:val="00CB0738"/>
    <w:rsid w:val="00D01A7D"/>
    <w:rsid w:val="00D512B2"/>
    <w:rsid w:val="00E04021"/>
    <w:rsid w:val="00EB6C74"/>
    <w:rsid w:val="00F31302"/>
    <w:rsid w:val="00F86EDD"/>
    <w:rsid w:val="00FD1EF1"/>
    <w:rsid w:val="06080893"/>
    <w:rsid w:val="13408B18"/>
    <w:rsid w:val="15654C96"/>
    <w:rsid w:val="30BDBA89"/>
    <w:rsid w:val="481DBA6D"/>
    <w:rsid w:val="534904E4"/>
    <w:rsid w:val="64F11986"/>
    <w:rsid w:val="71C68113"/>
    <w:rsid w:val="7D4CF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4C96"/>
  <w15:chartTrackingRefBased/>
  <w15:docId w15:val="{40D5313E-A2A3-4EA8-B04F-06085DB6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07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7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12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2B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512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2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512B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1A7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01A7D"/>
  </w:style>
  <w:style w:type="paragraph" w:styleId="Footer">
    <w:name w:val="footer"/>
    <w:basedOn w:val="Normal"/>
    <w:link w:val="FooterChar"/>
    <w:uiPriority w:val="99"/>
    <w:unhideWhenUsed/>
    <w:rsid w:val="00D01A7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01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exceptionalchildren.org/policy-and-advocacy/position-statements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exceptionalchildren.org/takeaction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4C0C9D48D6243B18997F3245C059C" ma:contentTypeVersion="6" ma:contentTypeDescription="Create a new document." ma:contentTypeScope="" ma:versionID="7783fa27514e6ce593be3752ca33a2cb">
  <xsd:schema xmlns:xsd="http://www.w3.org/2001/XMLSchema" xmlns:xs="http://www.w3.org/2001/XMLSchema" xmlns:p="http://schemas.microsoft.com/office/2006/metadata/properties" xmlns:ns2="be4fbed5-bf1b-4c91-800b-2f3c2c1c4fa7" xmlns:ns3="d80c2fa6-1935-4e30-94af-d057624dbc0b" targetNamespace="http://schemas.microsoft.com/office/2006/metadata/properties" ma:root="true" ma:fieldsID="dda2211dada6a2ac6f2faf0399b45ce6" ns2:_="" ns3:_="">
    <xsd:import namespace="be4fbed5-bf1b-4c91-800b-2f3c2c1c4fa7"/>
    <xsd:import namespace="d80c2fa6-1935-4e30-94af-d057624db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fbed5-bf1b-4c91-800b-2f3c2c1c4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c2fa6-1935-4e30-94af-d057624db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19F31-DB30-4EA2-B610-23F32FF2BF69}"/>
</file>

<file path=customXml/itemProps2.xml><?xml version="1.0" encoding="utf-8"?>
<ds:datastoreItem xmlns:ds="http://schemas.openxmlformats.org/officeDocument/2006/customXml" ds:itemID="{D5CD3379-3EDB-455E-AB28-C93217BB4336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be4fbed5-bf1b-4c91-800b-2f3c2c1c4fa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BB5FCCC-AFD1-4B21-84B7-13DD902887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Wieczorek</dc:creator>
  <cp:keywords/>
  <dc:description/>
  <cp:lastModifiedBy>Danielle Wieczorek</cp:lastModifiedBy>
  <cp:revision>3</cp:revision>
  <dcterms:created xsi:type="dcterms:W3CDTF">2022-06-09T11:42:00Z</dcterms:created>
  <dcterms:modified xsi:type="dcterms:W3CDTF">2022-06-22T18:38:03Z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0x010100AA44C0C9D48D6243B18997F3245C059C</vt:lpwstr>
  </property>
</Properties>
</file>